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2627" w14:textId="77777777" w:rsidR="00D85FE4" w:rsidRPr="0033522A" w:rsidRDefault="00D85FE4" w:rsidP="00D85FE4">
      <w:pPr>
        <w:pageBreakBefore/>
        <w:ind w:left="6480"/>
        <w:jc w:val="left"/>
        <w:rPr>
          <w:rFonts w:cs="Arial"/>
          <w:b/>
          <w:lang w:val="en-US"/>
        </w:rPr>
      </w:pPr>
      <w:r w:rsidRPr="0033522A">
        <w:rPr>
          <w:rFonts w:cs="Arial"/>
          <w:b/>
          <w:lang w:val="en-US"/>
        </w:rPr>
        <w:t>Appendix 9</w:t>
      </w:r>
    </w:p>
    <w:p w14:paraId="26096376" w14:textId="77777777" w:rsidR="00D85FE4" w:rsidRPr="0033522A" w:rsidRDefault="00D85FE4" w:rsidP="00D85FE4">
      <w:pPr>
        <w:ind w:left="6480"/>
        <w:jc w:val="left"/>
        <w:rPr>
          <w:rFonts w:cs="Arial"/>
          <w:lang w:val="en-US"/>
        </w:rPr>
      </w:pPr>
      <w:r w:rsidRPr="0033522A">
        <w:rPr>
          <w:rFonts w:cs="Arial"/>
          <w:lang w:val="en-US"/>
        </w:rPr>
        <w:t>to the Rules for providing access to the Exchange's trading systems</w:t>
      </w:r>
    </w:p>
    <w:p w14:paraId="51396FAC" w14:textId="77777777" w:rsidR="00D85FE4" w:rsidRPr="0033522A" w:rsidRDefault="00D85FE4" w:rsidP="00D85FE4">
      <w:pPr>
        <w:widowControl w:val="0"/>
        <w:jc w:val="center"/>
        <w:rPr>
          <w:rFonts w:cs="Arial"/>
          <w:i/>
          <w:color w:val="0000FF"/>
          <w:lang w:val="en-US"/>
        </w:rPr>
      </w:pPr>
      <w:r w:rsidRPr="0033522A">
        <w:rPr>
          <w:rFonts w:cs="Arial"/>
          <w:i/>
          <w:color w:val="0000FF"/>
          <w:lang w:val="en-US"/>
        </w:rPr>
        <w:t>(This appendix was changed by decision</w:t>
      </w:r>
      <w:r>
        <w:rPr>
          <w:rFonts w:cs="Arial"/>
          <w:i/>
          <w:color w:val="0000FF"/>
          <w:lang w:val="en-US"/>
        </w:rPr>
        <w:t>s</w:t>
      </w:r>
      <w:r w:rsidRPr="0033522A">
        <w:rPr>
          <w:rFonts w:cs="Arial"/>
          <w:i/>
          <w:color w:val="0000FF"/>
          <w:lang w:val="en-US"/>
        </w:rPr>
        <w:t xml:space="preserve"> of the Exchange's Board of Directors of May 26, 2021</w:t>
      </w:r>
      <w:r>
        <w:rPr>
          <w:rFonts w:cs="Arial"/>
          <w:i/>
          <w:color w:val="0000FF"/>
          <w:lang w:val="en-US"/>
        </w:rPr>
        <w:t xml:space="preserve"> </w:t>
      </w:r>
      <w:r>
        <w:rPr>
          <w:rFonts w:cs="Arial"/>
          <w:i/>
          <w:color w:val="0000FF"/>
          <w:lang w:val="en-US"/>
        </w:rPr>
        <w:br/>
        <w:t xml:space="preserve">and </w:t>
      </w:r>
      <w:r w:rsidRPr="00D87B67">
        <w:rPr>
          <w:i/>
          <w:iCs/>
          <w:color w:val="0000FF"/>
          <w:lang w:val="en-US"/>
        </w:rPr>
        <w:t>26 July of 2023</w:t>
      </w:r>
      <w:r w:rsidRPr="0033522A">
        <w:rPr>
          <w:rFonts w:cs="Arial"/>
          <w:i/>
          <w:color w:val="0000FF"/>
          <w:lang w:val="en-US"/>
        </w:rPr>
        <w:t>)</w:t>
      </w:r>
    </w:p>
    <w:p w14:paraId="237DF01B" w14:textId="77777777" w:rsidR="00D85FE4" w:rsidRPr="004C5900" w:rsidRDefault="00D85FE4" w:rsidP="00D85FE4">
      <w:pPr>
        <w:widowControl w:val="0"/>
        <w:tabs>
          <w:tab w:val="left" w:pos="0"/>
        </w:tabs>
        <w:overflowPunct w:val="0"/>
        <w:autoSpaceDE w:val="0"/>
        <w:autoSpaceDN w:val="0"/>
        <w:adjustRightInd w:val="0"/>
        <w:jc w:val="left"/>
        <w:textAlignment w:val="baseline"/>
        <w:rPr>
          <w:rFonts w:cs="Arial"/>
          <w:lang w:val="en"/>
        </w:rPr>
      </w:pPr>
      <w:bookmarkStart w:id="0" w:name="_Hlk141372716"/>
    </w:p>
    <w:p w14:paraId="3170EE63" w14:textId="77777777" w:rsidR="00D85FE4" w:rsidRPr="004C5900" w:rsidRDefault="00D85FE4" w:rsidP="00D85FE4">
      <w:pPr>
        <w:widowControl w:val="0"/>
        <w:spacing w:after="0"/>
        <w:jc w:val="center"/>
        <w:rPr>
          <w:rFonts w:cs="Arial"/>
          <w:lang w:val="en"/>
        </w:rPr>
      </w:pPr>
      <w:r w:rsidRPr="004C5900">
        <w:rPr>
          <w:rFonts w:cs="Arial"/>
          <w:lang w:val="en"/>
        </w:rPr>
        <w:t>[on company letterhead]</w:t>
      </w:r>
    </w:p>
    <w:p w14:paraId="547616BE" w14:textId="77777777" w:rsidR="00D85FE4" w:rsidRPr="004C5900" w:rsidRDefault="00D85FE4" w:rsidP="00D85FE4">
      <w:pPr>
        <w:widowControl w:val="0"/>
        <w:tabs>
          <w:tab w:val="left" w:pos="0"/>
        </w:tabs>
        <w:overflowPunct w:val="0"/>
        <w:autoSpaceDE w:val="0"/>
        <w:autoSpaceDN w:val="0"/>
        <w:adjustRightInd w:val="0"/>
        <w:jc w:val="left"/>
        <w:textAlignment w:val="baseline"/>
        <w:rPr>
          <w:rFonts w:cs="Arial"/>
          <w:lang w:val="en"/>
        </w:rPr>
      </w:pPr>
    </w:p>
    <w:p w14:paraId="51535B80" w14:textId="77777777" w:rsidR="00D85FE4" w:rsidRPr="004C5900" w:rsidRDefault="00D85FE4" w:rsidP="00D85FE4">
      <w:pPr>
        <w:widowControl w:val="0"/>
        <w:jc w:val="center"/>
        <w:rPr>
          <w:rFonts w:ascii="Times New Roman" w:hAnsi="Times New Roman"/>
          <w:b/>
          <w:color w:val="800000"/>
          <w:spacing w:val="60"/>
          <w:sz w:val="24"/>
          <w:szCs w:val="24"/>
          <w:lang w:val="en"/>
        </w:rPr>
      </w:pPr>
      <w:r w:rsidRPr="004C5900">
        <w:rPr>
          <w:rFonts w:ascii="Times New Roman" w:hAnsi="Times New Roman"/>
          <w:b/>
          <w:color w:val="800000"/>
          <w:spacing w:val="60"/>
          <w:sz w:val="28"/>
          <w:szCs w:val="28"/>
          <w:lang w:val="en"/>
        </w:rPr>
        <w:t>STATEMENT</w:t>
      </w:r>
    </w:p>
    <w:p w14:paraId="05EA2D99" w14:textId="77777777" w:rsidR="00D85FE4" w:rsidRPr="004C5900" w:rsidRDefault="00D85FE4" w:rsidP="00D85FE4">
      <w:pPr>
        <w:widowControl w:val="0"/>
        <w:jc w:val="center"/>
        <w:rPr>
          <w:rFonts w:ascii="Times New Roman" w:hAnsi="Times New Roman"/>
          <w:b/>
          <w:color w:val="800000"/>
          <w:spacing w:val="60"/>
          <w:sz w:val="24"/>
          <w:szCs w:val="24"/>
          <w:lang w:val="en"/>
        </w:rPr>
      </w:pPr>
      <w:r w:rsidRPr="004C5900">
        <w:rPr>
          <w:rFonts w:ascii="Times New Roman" w:hAnsi="Times New Roman"/>
          <w:b/>
          <w:color w:val="800000"/>
          <w:sz w:val="24"/>
          <w:szCs w:val="24"/>
          <w:lang w:val="en"/>
        </w:rPr>
        <w:t>on providing access to the Exchange's trading and clearing system through a gateway</w:t>
      </w:r>
    </w:p>
    <w:p w14:paraId="03E3EFDF" w14:textId="77777777" w:rsidR="00D85FE4" w:rsidRPr="004C5900" w:rsidRDefault="00D85FE4" w:rsidP="00D85FE4">
      <w:pPr>
        <w:widowControl w:val="0"/>
        <w:tabs>
          <w:tab w:val="left" w:pos="0"/>
        </w:tabs>
        <w:overflowPunct w:val="0"/>
        <w:autoSpaceDE w:val="0"/>
        <w:autoSpaceDN w:val="0"/>
        <w:adjustRightInd w:val="0"/>
        <w:jc w:val="left"/>
        <w:textAlignment w:val="baseline"/>
        <w:rPr>
          <w:rFonts w:cs="Arial"/>
          <w:lang w:val="en"/>
        </w:rPr>
      </w:pPr>
    </w:p>
    <w:p w14:paraId="5A75F4B5" w14:textId="77777777" w:rsidR="00D85FE4" w:rsidRPr="004C5900" w:rsidRDefault="00D85FE4" w:rsidP="00D85FE4">
      <w:pPr>
        <w:widowControl w:val="0"/>
        <w:rPr>
          <w:lang w:val="en"/>
        </w:rPr>
      </w:pPr>
      <w:r w:rsidRPr="004C5900">
        <w:rPr>
          <w:lang w:val="en"/>
        </w:rPr>
        <w:t>Hereby, on behalf of [full name of the organization], requests Kazakhstan Stock Exchange JSC to provide access to the trading and clearing system by connecting to it through:</w:t>
      </w:r>
    </w:p>
    <w:tbl>
      <w:tblPr>
        <w:tblStyle w:val="1"/>
        <w:tblW w:w="5000" w:type="pct"/>
        <w:tblLook w:val="04A0" w:firstRow="1" w:lastRow="0" w:firstColumn="1" w:lastColumn="0" w:noHBand="0" w:noVBand="1"/>
      </w:tblPr>
      <w:tblGrid>
        <w:gridCol w:w="481"/>
        <w:gridCol w:w="2774"/>
        <w:gridCol w:w="1159"/>
        <w:gridCol w:w="1146"/>
        <w:gridCol w:w="1152"/>
        <w:gridCol w:w="1151"/>
        <w:gridCol w:w="1153"/>
      </w:tblGrid>
      <w:tr w:rsidR="00D85FE4" w:rsidRPr="004C5900" w14:paraId="31EBED9E" w14:textId="77777777" w:rsidTr="005C4075">
        <w:trPr>
          <w:trHeight w:val="194"/>
        </w:trPr>
        <w:tc>
          <w:tcPr>
            <w:tcW w:w="468" w:type="dxa"/>
            <w:vMerge w:val="restart"/>
            <w:shd w:val="clear" w:color="auto" w:fill="D9D9D9" w:themeFill="background1" w:themeFillShade="D9"/>
            <w:vAlign w:val="center"/>
          </w:tcPr>
          <w:p w14:paraId="7A39B485" w14:textId="77777777" w:rsidR="00D85FE4" w:rsidRPr="004C5900" w:rsidRDefault="00D85FE4" w:rsidP="005C4075">
            <w:pPr>
              <w:widowControl w:val="0"/>
              <w:spacing w:before="60" w:after="60"/>
              <w:jc w:val="center"/>
              <w:rPr>
                <w:rFonts w:ascii="Arial Narrow" w:hAnsi="Arial Narrow" w:cs="Arial"/>
                <w:b/>
                <w:bCs/>
                <w:color w:val="000000"/>
              </w:rPr>
            </w:pPr>
            <w:r w:rsidRPr="004C5900">
              <w:rPr>
                <w:rFonts w:ascii="Arial Narrow" w:hAnsi="Arial Narrow" w:cs="Arial"/>
                <w:b/>
                <w:bCs/>
                <w:color w:val="000000"/>
              </w:rPr>
              <w:t>No.</w:t>
            </w:r>
          </w:p>
        </w:tc>
        <w:tc>
          <w:tcPr>
            <w:tcW w:w="2880" w:type="dxa"/>
            <w:vMerge w:val="restart"/>
            <w:shd w:val="clear" w:color="auto" w:fill="D9D9D9" w:themeFill="background1" w:themeFillShade="D9"/>
            <w:vAlign w:val="center"/>
          </w:tcPr>
          <w:p w14:paraId="12CF3A52" w14:textId="77777777" w:rsidR="00D85FE4" w:rsidRPr="004C5900" w:rsidRDefault="00D85FE4" w:rsidP="005C4075">
            <w:pPr>
              <w:spacing w:before="60" w:after="60"/>
              <w:jc w:val="center"/>
              <w:rPr>
                <w:rFonts w:ascii="Arial Narrow" w:hAnsi="Arial Narrow" w:cs="Arial"/>
                <w:b/>
                <w:bCs/>
                <w:color w:val="000000"/>
              </w:rPr>
            </w:pPr>
            <w:r w:rsidRPr="004C5900">
              <w:rPr>
                <w:rFonts w:ascii="Arial Narrow" w:hAnsi="Arial Narrow" w:cs="Arial"/>
                <w:b/>
                <w:bCs/>
                <w:color w:val="000000"/>
              </w:rPr>
              <w:t>Name of trading and clearing system</w:t>
            </w:r>
          </w:p>
        </w:tc>
        <w:tc>
          <w:tcPr>
            <w:tcW w:w="5894" w:type="dxa"/>
            <w:gridSpan w:val="5"/>
            <w:shd w:val="clear" w:color="auto" w:fill="D9D9D9" w:themeFill="background1" w:themeFillShade="D9"/>
            <w:vAlign w:val="center"/>
          </w:tcPr>
          <w:p w14:paraId="32FD13C3" w14:textId="77777777" w:rsidR="00D85FE4" w:rsidRPr="004C5900" w:rsidRDefault="00D85FE4" w:rsidP="005C4075">
            <w:pPr>
              <w:spacing w:before="60" w:after="60"/>
              <w:jc w:val="center"/>
              <w:rPr>
                <w:rFonts w:ascii="Arial Narrow" w:hAnsi="Arial Narrow" w:cs="Arial"/>
                <w:b/>
                <w:bCs/>
                <w:color w:val="000000"/>
              </w:rPr>
            </w:pPr>
            <w:r w:rsidRPr="004C5900">
              <w:rPr>
                <w:rFonts w:ascii="Arial Narrow" w:hAnsi="Arial Narrow" w:cs="Arial"/>
                <w:b/>
                <w:bCs/>
                <w:color w:val="000000"/>
              </w:rPr>
              <w:t>Connection type</w:t>
            </w:r>
          </w:p>
        </w:tc>
      </w:tr>
      <w:tr w:rsidR="00D85FE4" w:rsidRPr="004C5900" w14:paraId="7B2F1566" w14:textId="77777777" w:rsidTr="005C4075">
        <w:trPr>
          <w:trHeight w:val="194"/>
        </w:trPr>
        <w:tc>
          <w:tcPr>
            <w:tcW w:w="468" w:type="dxa"/>
            <w:vMerge/>
            <w:shd w:val="clear" w:color="auto" w:fill="D9D9D9" w:themeFill="background1" w:themeFillShade="D9"/>
            <w:vAlign w:val="center"/>
          </w:tcPr>
          <w:p w14:paraId="43078EB4" w14:textId="77777777" w:rsidR="00D85FE4" w:rsidRPr="004C5900" w:rsidRDefault="00D85FE4" w:rsidP="005C4075">
            <w:pPr>
              <w:widowControl w:val="0"/>
              <w:spacing w:before="60" w:after="60"/>
              <w:jc w:val="center"/>
              <w:rPr>
                <w:rFonts w:ascii="Arial Narrow" w:hAnsi="Arial Narrow" w:cs="Arial"/>
                <w:b/>
                <w:bCs/>
                <w:color w:val="000000"/>
              </w:rPr>
            </w:pPr>
          </w:p>
        </w:tc>
        <w:tc>
          <w:tcPr>
            <w:tcW w:w="2880" w:type="dxa"/>
            <w:vMerge/>
            <w:shd w:val="clear" w:color="auto" w:fill="D9D9D9" w:themeFill="background1" w:themeFillShade="D9"/>
            <w:vAlign w:val="center"/>
          </w:tcPr>
          <w:p w14:paraId="13FA7419" w14:textId="77777777" w:rsidR="00D85FE4" w:rsidRPr="004C5900" w:rsidRDefault="00D85FE4" w:rsidP="005C4075">
            <w:pPr>
              <w:widowControl w:val="0"/>
              <w:spacing w:before="60" w:after="60"/>
              <w:jc w:val="center"/>
              <w:rPr>
                <w:rFonts w:ascii="Arial Narrow" w:hAnsi="Arial Narrow" w:cs="Arial"/>
                <w:b/>
                <w:bCs/>
                <w:color w:val="000000"/>
              </w:rPr>
            </w:pPr>
          </w:p>
        </w:tc>
        <w:tc>
          <w:tcPr>
            <w:tcW w:w="1178" w:type="dxa"/>
            <w:shd w:val="clear" w:color="auto" w:fill="D9D9D9" w:themeFill="background1" w:themeFillShade="D9"/>
            <w:vAlign w:val="center"/>
          </w:tcPr>
          <w:p w14:paraId="0A449B5B" w14:textId="77777777" w:rsidR="00D85FE4" w:rsidRPr="004C5900" w:rsidRDefault="00D85FE4" w:rsidP="005C4075">
            <w:pPr>
              <w:widowControl w:val="0"/>
              <w:spacing w:before="60" w:after="60"/>
              <w:jc w:val="center"/>
              <w:rPr>
                <w:rFonts w:ascii="Arial Narrow" w:hAnsi="Arial Narrow" w:cs="Arial"/>
                <w:b/>
                <w:bCs/>
                <w:color w:val="000000"/>
              </w:rPr>
            </w:pPr>
            <w:r w:rsidRPr="004C5900">
              <w:rPr>
                <w:rFonts w:ascii="Arial Narrow" w:hAnsi="Arial Narrow" w:cs="Arial"/>
                <w:b/>
                <w:bCs/>
                <w:color w:val="000000"/>
              </w:rPr>
              <w:t>FIX protocol</w:t>
            </w:r>
          </w:p>
        </w:tc>
        <w:tc>
          <w:tcPr>
            <w:tcW w:w="1179" w:type="dxa"/>
            <w:shd w:val="clear" w:color="auto" w:fill="D9D9D9" w:themeFill="background1" w:themeFillShade="D9"/>
            <w:vAlign w:val="center"/>
          </w:tcPr>
          <w:p w14:paraId="0508B559" w14:textId="77777777" w:rsidR="00D85FE4" w:rsidRPr="004C5900" w:rsidRDefault="00D85FE4" w:rsidP="005C4075">
            <w:pPr>
              <w:widowControl w:val="0"/>
              <w:spacing w:before="60" w:after="60"/>
              <w:jc w:val="center"/>
              <w:rPr>
                <w:rFonts w:ascii="Arial Narrow" w:hAnsi="Arial Narrow" w:cs="Arial"/>
                <w:b/>
                <w:bCs/>
                <w:color w:val="000000"/>
              </w:rPr>
            </w:pPr>
            <w:r w:rsidRPr="004C5900">
              <w:rPr>
                <w:rFonts w:ascii="Arial Narrow" w:hAnsi="Arial Narrow" w:cs="Arial"/>
                <w:b/>
                <w:bCs/>
                <w:color w:val="000000"/>
              </w:rPr>
              <w:t>FAST</w:t>
            </w:r>
          </w:p>
        </w:tc>
        <w:tc>
          <w:tcPr>
            <w:tcW w:w="1179" w:type="dxa"/>
            <w:shd w:val="clear" w:color="auto" w:fill="D9D9D9" w:themeFill="background1" w:themeFillShade="D9"/>
            <w:vAlign w:val="center"/>
          </w:tcPr>
          <w:p w14:paraId="3A21CF27" w14:textId="77777777" w:rsidR="00D85FE4" w:rsidRPr="004C5900" w:rsidRDefault="00D85FE4" w:rsidP="005C4075">
            <w:pPr>
              <w:widowControl w:val="0"/>
              <w:spacing w:before="60" w:after="60"/>
              <w:jc w:val="center"/>
              <w:rPr>
                <w:rFonts w:ascii="Arial Narrow" w:hAnsi="Arial Narrow" w:cs="Arial"/>
                <w:b/>
                <w:bCs/>
                <w:color w:val="000000"/>
              </w:rPr>
            </w:pPr>
            <w:r w:rsidRPr="004C5900">
              <w:rPr>
                <w:rFonts w:ascii="Arial Narrow" w:hAnsi="Arial Narrow" w:cs="Arial"/>
                <w:b/>
                <w:bCs/>
                <w:color w:val="000000"/>
              </w:rPr>
              <w:t>ASTS Bridge</w:t>
            </w:r>
          </w:p>
        </w:tc>
        <w:tc>
          <w:tcPr>
            <w:tcW w:w="1179" w:type="dxa"/>
            <w:shd w:val="clear" w:color="auto" w:fill="D9D9D9" w:themeFill="background1" w:themeFillShade="D9"/>
            <w:vAlign w:val="center"/>
          </w:tcPr>
          <w:p w14:paraId="3E14F15F" w14:textId="77777777" w:rsidR="00D85FE4" w:rsidRPr="004C5900" w:rsidRDefault="00D85FE4" w:rsidP="005C4075">
            <w:pPr>
              <w:widowControl w:val="0"/>
              <w:spacing w:before="60" w:after="60"/>
              <w:jc w:val="center"/>
              <w:rPr>
                <w:rFonts w:ascii="Arial Narrow" w:hAnsi="Arial Narrow" w:cs="Arial"/>
                <w:b/>
                <w:bCs/>
                <w:color w:val="000000"/>
                <w:lang w:val="en-US"/>
              </w:rPr>
            </w:pPr>
            <w:r w:rsidRPr="004C5900">
              <w:rPr>
                <w:rFonts w:ascii="Arial Narrow" w:hAnsi="Arial Narrow" w:cs="Arial"/>
                <w:b/>
                <w:bCs/>
                <w:color w:val="000000"/>
              </w:rPr>
              <w:t xml:space="preserve">Plaza2 </w:t>
            </w:r>
            <w:proofErr w:type="spellStart"/>
            <w:r w:rsidRPr="004C5900">
              <w:rPr>
                <w:rFonts w:ascii="Arial Narrow" w:hAnsi="Arial Narrow" w:cs="Arial"/>
                <w:b/>
                <w:bCs/>
                <w:color w:val="000000"/>
                <w:lang w:val="en-US"/>
              </w:rPr>
              <w:t>CGate</w:t>
            </w:r>
            <w:proofErr w:type="spellEnd"/>
          </w:p>
        </w:tc>
        <w:tc>
          <w:tcPr>
            <w:tcW w:w="1179" w:type="dxa"/>
            <w:shd w:val="clear" w:color="auto" w:fill="D9D9D9" w:themeFill="background1" w:themeFillShade="D9"/>
            <w:vAlign w:val="center"/>
          </w:tcPr>
          <w:p w14:paraId="447C9A0F" w14:textId="77777777" w:rsidR="00D85FE4" w:rsidRPr="004C5900" w:rsidRDefault="00D85FE4" w:rsidP="005C4075">
            <w:pPr>
              <w:widowControl w:val="0"/>
              <w:spacing w:before="60" w:after="60"/>
              <w:jc w:val="center"/>
              <w:rPr>
                <w:rFonts w:ascii="Arial Narrow" w:hAnsi="Arial Narrow" w:cs="Arial"/>
                <w:b/>
                <w:bCs/>
                <w:color w:val="000000"/>
              </w:rPr>
            </w:pPr>
            <w:r w:rsidRPr="004C5900">
              <w:rPr>
                <w:rFonts w:ascii="Arial Narrow" w:hAnsi="Arial Narrow" w:cs="Arial"/>
                <w:b/>
                <w:bCs/>
                <w:color w:val="000000"/>
              </w:rPr>
              <w:t>TWIME</w:t>
            </w:r>
          </w:p>
        </w:tc>
      </w:tr>
      <w:tr w:rsidR="00D85FE4" w:rsidRPr="004C5900" w14:paraId="7F9BC801" w14:textId="77777777" w:rsidTr="005C4075">
        <w:tc>
          <w:tcPr>
            <w:tcW w:w="468" w:type="dxa"/>
          </w:tcPr>
          <w:p w14:paraId="5854F618" w14:textId="77777777" w:rsidR="00D85FE4" w:rsidRPr="004C5900" w:rsidRDefault="00D85FE4" w:rsidP="005C4075">
            <w:pPr>
              <w:spacing w:before="60" w:after="60"/>
              <w:jc w:val="left"/>
              <w:rPr>
                <w:rFonts w:cs="Arial"/>
                <w:color w:val="000000"/>
              </w:rPr>
            </w:pPr>
            <w:r w:rsidRPr="004C5900">
              <w:rPr>
                <w:rFonts w:cs="Arial"/>
                <w:color w:val="000000"/>
              </w:rPr>
              <w:t>1.</w:t>
            </w:r>
          </w:p>
        </w:tc>
        <w:tc>
          <w:tcPr>
            <w:tcW w:w="2880" w:type="dxa"/>
          </w:tcPr>
          <w:p w14:paraId="4E71E34A" w14:textId="77777777" w:rsidR="00D85FE4" w:rsidRPr="004C5900" w:rsidRDefault="00D85FE4" w:rsidP="005C4075">
            <w:pPr>
              <w:spacing w:before="60" w:after="60"/>
              <w:jc w:val="left"/>
              <w:rPr>
                <w:rFonts w:cs="Arial"/>
                <w:color w:val="000000"/>
              </w:rPr>
            </w:pPr>
            <w:r w:rsidRPr="004C5900">
              <w:rPr>
                <w:rFonts w:cs="Arial"/>
                <w:color w:val="000000"/>
              </w:rPr>
              <w:t>ASTS+ (stock market)</w:t>
            </w:r>
          </w:p>
        </w:tc>
        <w:tc>
          <w:tcPr>
            <w:tcW w:w="1178" w:type="dxa"/>
            <w:vAlign w:val="center"/>
          </w:tcPr>
          <w:p w14:paraId="02296F4B" w14:textId="77777777" w:rsidR="00D85FE4" w:rsidRPr="004C5900" w:rsidRDefault="00D85FE4" w:rsidP="005C4075">
            <w:pPr>
              <w:widowControl w:val="0"/>
              <w:spacing w:before="60" w:after="60"/>
              <w:jc w:val="center"/>
              <w:rPr>
                <w:rFonts w:cs="Arial"/>
                <w:color w:val="000000"/>
              </w:rPr>
            </w:pPr>
            <w:r w:rsidRPr="004C5900">
              <w:rPr>
                <w:rFonts w:cs="Arial"/>
                <w:color w:val="000000"/>
              </w:rPr>
              <w:t>□</w:t>
            </w:r>
          </w:p>
        </w:tc>
        <w:tc>
          <w:tcPr>
            <w:tcW w:w="1179" w:type="dxa"/>
            <w:vAlign w:val="center"/>
          </w:tcPr>
          <w:p w14:paraId="0A9F48D2" w14:textId="77777777" w:rsidR="00D85FE4" w:rsidRPr="004C5900" w:rsidRDefault="00D85FE4" w:rsidP="005C4075">
            <w:pPr>
              <w:widowControl w:val="0"/>
              <w:spacing w:before="60" w:after="60"/>
              <w:jc w:val="center"/>
              <w:rPr>
                <w:rFonts w:cs="Arial"/>
                <w:color w:val="000000"/>
              </w:rPr>
            </w:pPr>
            <w:r w:rsidRPr="004C5900">
              <w:rPr>
                <w:rFonts w:cs="Arial"/>
                <w:color w:val="000000"/>
              </w:rPr>
              <w:t>□</w:t>
            </w:r>
          </w:p>
        </w:tc>
        <w:tc>
          <w:tcPr>
            <w:tcW w:w="1179" w:type="dxa"/>
            <w:vAlign w:val="center"/>
          </w:tcPr>
          <w:p w14:paraId="1BB95917" w14:textId="77777777" w:rsidR="00D85FE4" w:rsidRPr="004C5900" w:rsidRDefault="00D85FE4" w:rsidP="005C4075">
            <w:pPr>
              <w:spacing w:before="60" w:after="60"/>
              <w:jc w:val="center"/>
              <w:rPr>
                <w:rFonts w:cs="Arial"/>
                <w:color w:val="000000"/>
              </w:rPr>
            </w:pPr>
            <w:r w:rsidRPr="004C5900">
              <w:rPr>
                <w:rFonts w:cs="Arial"/>
                <w:color w:val="000000"/>
              </w:rPr>
              <w:t>□</w:t>
            </w:r>
          </w:p>
        </w:tc>
        <w:tc>
          <w:tcPr>
            <w:tcW w:w="1179" w:type="dxa"/>
            <w:shd w:val="clear" w:color="auto" w:fill="F2F2F2" w:themeFill="background1" w:themeFillShade="F2"/>
          </w:tcPr>
          <w:p w14:paraId="309B85B0" w14:textId="77777777" w:rsidR="00D85FE4" w:rsidRPr="004C5900" w:rsidRDefault="00D85FE4" w:rsidP="005C4075">
            <w:pPr>
              <w:widowControl w:val="0"/>
              <w:spacing w:before="60" w:after="60"/>
              <w:jc w:val="left"/>
              <w:rPr>
                <w:rFonts w:cs="Arial"/>
                <w:color w:val="000000"/>
              </w:rPr>
            </w:pPr>
          </w:p>
        </w:tc>
        <w:tc>
          <w:tcPr>
            <w:tcW w:w="1179" w:type="dxa"/>
            <w:shd w:val="clear" w:color="auto" w:fill="F2F2F2" w:themeFill="background1" w:themeFillShade="F2"/>
          </w:tcPr>
          <w:p w14:paraId="59648053" w14:textId="77777777" w:rsidR="00D85FE4" w:rsidRPr="004C5900" w:rsidRDefault="00D85FE4" w:rsidP="005C4075">
            <w:pPr>
              <w:spacing w:before="60" w:after="60"/>
              <w:jc w:val="left"/>
              <w:rPr>
                <w:rFonts w:cs="Arial"/>
                <w:color w:val="000000"/>
              </w:rPr>
            </w:pPr>
          </w:p>
        </w:tc>
      </w:tr>
      <w:tr w:rsidR="00D85FE4" w:rsidRPr="004C5900" w14:paraId="72D4AA4B" w14:textId="77777777" w:rsidTr="005C4075">
        <w:tc>
          <w:tcPr>
            <w:tcW w:w="468" w:type="dxa"/>
          </w:tcPr>
          <w:p w14:paraId="1654BA6A" w14:textId="77777777" w:rsidR="00D85FE4" w:rsidRPr="004C5900" w:rsidRDefault="00D85FE4" w:rsidP="005C4075">
            <w:pPr>
              <w:spacing w:before="60" w:after="60"/>
              <w:jc w:val="left"/>
              <w:rPr>
                <w:rFonts w:cs="Arial"/>
                <w:color w:val="000000"/>
              </w:rPr>
            </w:pPr>
            <w:r w:rsidRPr="004C5900">
              <w:rPr>
                <w:rFonts w:cs="Arial"/>
                <w:color w:val="000000"/>
              </w:rPr>
              <w:t>2.</w:t>
            </w:r>
          </w:p>
        </w:tc>
        <w:tc>
          <w:tcPr>
            <w:tcW w:w="2880" w:type="dxa"/>
          </w:tcPr>
          <w:p w14:paraId="4B802549" w14:textId="77777777" w:rsidR="00D85FE4" w:rsidRPr="004C5900" w:rsidRDefault="00D85FE4" w:rsidP="005C4075">
            <w:pPr>
              <w:spacing w:before="60" w:after="60"/>
              <w:jc w:val="left"/>
              <w:rPr>
                <w:rFonts w:cs="Arial"/>
                <w:color w:val="000000"/>
              </w:rPr>
            </w:pPr>
            <w:r w:rsidRPr="004C5900">
              <w:rPr>
                <w:rFonts w:cs="Arial"/>
                <w:color w:val="000000"/>
              </w:rPr>
              <w:t>ASTS+ (foreign exchange market)</w:t>
            </w:r>
          </w:p>
        </w:tc>
        <w:tc>
          <w:tcPr>
            <w:tcW w:w="1178" w:type="dxa"/>
            <w:vAlign w:val="center"/>
          </w:tcPr>
          <w:p w14:paraId="0E2344E1" w14:textId="77777777" w:rsidR="00D85FE4" w:rsidRPr="004C5900" w:rsidRDefault="00D85FE4" w:rsidP="005C4075">
            <w:pPr>
              <w:widowControl w:val="0"/>
              <w:spacing w:before="60" w:after="60"/>
              <w:jc w:val="center"/>
              <w:rPr>
                <w:rFonts w:cs="Arial"/>
                <w:color w:val="000000"/>
              </w:rPr>
            </w:pPr>
            <w:r w:rsidRPr="004C5900">
              <w:rPr>
                <w:rFonts w:cs="Arial"/>
                <w:color w:val="000000"/>
              </w:rPr>
              <w:t>□</w:t>
            </w:r>
          </w:p>
        </w:tc>
        <w:tc>
          <w:tcPr>
            <w:tcW w:w="1179" w:type="dxa"/>
            <w:vAlign w:val="center"/>
          </w:tcPr>
          <w:p w14:paraId="7A1619AB" w14:textId="77777777" w:rsidR="00D85FE4" w:rsidRPr="004C5900" w:rsidRDefault="00D85FE4" w:rsidP="005C4075">
            <w:pPr>
              <w:widowControl w:val="0"/>
              <w:spacing w:before="60" w:after="60"/>
              <w:jc w:val="center"/>
              <w:rPr>
                <w:rFonts w:cs="Arial"/>
                <w:color w:val="000000"/>
              </w:rPr>
            </w:pPr>
            <w:r w:rsidRPr="004C5900">
              <w:rPr>
                <w:rFonts w:cs="Arial"/>
                <w:color w:val="000000"/>
              </w:rPr>
              <w:t>□</w:t>
            </w:r>
          </w:p>
        </w:tc>
        <w:tc>
          <w:tcPr>
            <w:tcW w:w="1179" w:type="dxa"/>
            <w:vAlign w:val="center"/>
          </w:tcPr>
          <w:p w14:paraId="3CE39C39" w14:textId="77777777" w:rsidR="00D85FE4" w:rsidRPr="004C5900" w:rsidRDefault="00D85FE4" w:rsidP="005C4075">
            <w:pPr>
              <w:spacing w:before="60" w:after="60"/>
              <w:jc w:val="center"/>
              <w:rPr>
                <w:rFonts w:cs="Arial"/>
                <w:color w:val="000000"/>
              </w:rPr>
            </w:pPr>
            <w:r w:rsidRPr="004C5900">
              <w:rPr>
                <w:rFonts w:cs="Arial"/>
                <w:color w:val="000000"/>
              </w:rPr>
              <w:t>□</w:t>
            </w:r>
          </w:p>
        </w:tc>
        <w:tc>
          <w:tcPr>
            <w:tcW w:w="1179" w:type="dxa"/>
            <w:shd w:val="clear" w:color="auto" w:fill="F2F2F2" w:themeFill="background1" w:themeFillShade="F2"/>
          </w:tcPr>
          <w:p w14:paraId="02ED0E27" w14:textId="77777777" w:rsidR="00D85FE4" w:rsidRPr="004C5900" w:rsidRDefault="00D85FE4" w:rsidP="005C4075">
            <w:pPr>
              <w:widowControl w:val="0"/>
              <w:spacing w:before="60" w:after="60"/>
              <w:jc w:val="left"/>
              <w:rPr>
                <w:rFonts w:cs="Arial"/>
                <w:color w:val="000000"/>
              </w:rPr>
            </w:pPr>
          </w:p>
        </w:tc>
        <w:tc>
          <w:tcPr>
            <w:tcW w:w="1179" w:type="dxa"/>
            <w:shd w:val="clear" w:color="auto" w:fill="F2F2F2" w:themeFill="background1" w:themeFillShade="F2"/>
          </w:tcPr>
          <w:p w14:paraId="5B44A0AB" w14:textId="77777777" w:rsidR="00D85FE4" w:rsidRPr="004C5900" w:rsidRDefault="00D85FE4" w:rsidP="005C4075">
            <w:pPr>
              <w:spacing w:before="60" w:after="60"/>
              <w:jc w:val="left"/>
              <w:rPr>
                <w:rFonts w:cs="Arial"/>
                <w:color w:val="000000"/>
              </w:rPr>
            </w:pPr>
          </w:p>
        </w:tc>
      </w:tr>
      <w:tr w:rsidR="00D85FE4" w:rsidRPr="004C5900" w14:paraId="1629F79D" w14:textId="77777777" w:rsidTr="005C4075">
        <w:tc>
          <w:tcPr>
            <w:tcW w:w="468" w:type="dxa"/>
          </w:tcPr>
          <w:p w14:paraId="6395FED9" w14:textId="77777777" w:rsidR="00D85FE4" w:rsidRPr="004C5900" w:rsidRDefault="00D85FE4" w:rsidP="005C4075">
            <w:pPr>
              <w:spacing w:before="60" w:after="60"/>
              <w:jc w:val="left"/>
              <w:rPr>
                <w:rFonts w:cs="Arial"/>
                <w:color w:val="000000"/>
              </w:rPr>
            </w:pPr>
            <w:r w:rsidRPr="004C5900">
              <w:rPr>
                <w:rFonts w:cs="Arial"/>
                <w:color w:val="000000"/>
              </w:rPr>
              <w:t>3.</w:t>
            </w:r>
          </w:p>
        </w:tc>
        <w:tc>
          <w:tcPr>
            <w:tcW w:w="2880" w:type="dxa"/>
          </w:tcPr>
          <w:p w14:paraId="0C5EB190" w14:textId="77777777" w:rsidR="00D85FE4" w:rsidRPr="004C5900" w:rsidRDefault="00D85FE4" w:rsidP="005C4075">
            <w:pPr>
              <w:spacing w:before="60" w:after="60"/>
              <w:jc w:val="left"/>
              <w:rPr>
                <w:rFonts w:cs="Arial"/>
                <w:color w:val="000000"/>
              </w:rPr>
            </w:pPr>
            <w:r w:rsidRPr="004C5900">
              <w:rPr>
                <w:rFonts w:cs="Arial"/>
                <w:color w:val="000000"/>
              </w:rPr>
              <w:t>SPECTRA</w:t>
            </w:r>
          </w:p>
        </w:tc>
        <w:tc>
          <w:tcPr>
            <w:tcW w:w="1178" w:type="dxa"/>
            <w:vAlign w:val="center"/>
          </w:tcPr>
          <w:p w14:paraId="27CE95EA" w14:textId="77777777" w:rsidR="00D85FE4" w:rsidRPr="004C5900" w:rsidRDefault="00D85FE4" w:rsidP="005C4075">
            <w:pPr>
              <w:widowControl w:val="0"/>
              <w:spacing w:before="60" w:after="60"/>
              <w:jc w:val="center"/>
              <w:rPr>
                <w:rFonts w:cs="Arial"/>
                <w:color w:val="000000"/>
              </w:rPr>
            </w:pPr>
            <w:r w:rsidRPr="004C5900">
              <w:rPr>
                <w:rFonts w:cs="Arial"/>
                <w:color w:val="000000"/>
              </w:rPr>
              <w:t>□</w:t>
            </w:r>
          </w:p>
        </w:tc>
        <w:tc>
          <w:tcPr>
            <w:tcW w:w="1179" w:type="dxa"/>
            <w:shd w:val="clear" w:color="auto" w:fill="FFFFFF" w:themeFill="background1"/>
          </w:tcPr>
          <w:p w14:paraId="3B59F91E" w14:textId="77777777" w:rsidR="00D85FE4" w:rsidRPr="004C5900" w:rsidRDefault="00D85FE4" w:rsidP="005C4075">
            <w:pPr>
              <w:widowControl w:val="0"/>
              <w:spacing w:before="60" w:after="60"/>
              <w:jc w:val="center"/>
              <w:rPr>
                <w:rFonts w:cs="Arial"/>
                <w:color w:val="000000"/>
              </w:rPr>
            </w:pPr>
            <w:r w:rsidRPr="004C5900">
              <w:rPr>
                <w:rFonts w:cs="Arial"/>
                <w:color w:val="000000"/>
              </w:rPr>
              <w:t>□</w:t>
            </w:r>
          </w:p>
        </w:tc>
        <w:tc>
          <w:tcPr>
            <w:tcW w:w="1179" w:type="dxa"/>
            <w:shd w:val="clear" w:color="auto" w:fill="F2F2F2" w:themeFill="background1" w:themeFillShade="F2"/>
          </w:tcPr>
          <w:p w14:paraId="05B6B5D7" w14:textId="77777777" w:rsidR="00D85FE4" w:rsidRPr="004C5900" w:rsidRDefault="00D85FE4" w:rsidP="005C4075">
            <w:pPr>
              <w:spacing w:before="60" w:after="60"/>
              <w:jc w:val="left"/>
              <w:rPr>
                <w:rFonts w:cs="Arial"/>
                <w:color w:val="000000"/>
              </w:rPr>
            </w:pPr>
          </w:p>
        </w:tc>
        <w:tc>
          <w:tcPr>
            <w:tcW w:w="1179" w:type="dxa"/>
            <w:vAlign w:val="center"/>
          </w:tcPr>
          <w:p w14:paraId="4D6AA696" w14:textId="77777777" w:rsidR="00D85FE4" w:rsidRPr="004C5900" w:rsidRDefault="00D85FE4" w:rsidP="005C4075">
            <w:pPr>
              <w:widowControl w:val="0"/>
              <w:spacing w:before="60" w:after="60"/>
              <w:jc w:val="center"/>
              <w:rPr>
                <w:rFonts w:cs="Arial"/>
                <w:color w:val="000000"/>
              </w:rPr>
            </w:pPr>
            <w:r w:rsidRPr="004C5900">
              <w:rPr>
                <w:rFonts w:cs="Arial"/>
                <w:color w:val="000000"/>
              </w:rPr>
              <w:t>□</w:t>
            </w:r>
          </w:p>
        </w:tc>
        <w:tc>
          <w:tcPr>
            <w:tcW w:w="1179" w:type="dxa"/>
            <w:vAlign w:val="center"/>
          </w:tcPr>
          <w:p w14:paraId="0F85AC26" w14:textId="77777777" w:rsidR="00D85FE4" w:rsidRPr="004C5900" w:rsidRDefault="00D85FE4" w:rsidP="005C4075">
            <w:pPr>
              <w:spacing w:before="60" w:after="60"/>
              <w:jc w:val="center"/>
              <w:rPr>
                <w:rFonts w:cs="Arial"/>
                <w:color w:val="000000"/>
              </w:rPr>
            </w:pPr>
            <w:r w:rsidRPr="004C5900">
              <w:rPr>
                <w:rFonts w:cs="Arial"/>
                <w:color w:val="000000"/>
              </w:rPr>
              <w:t>□</w:t>
            </w:r>
          </w:p>
        </w:tc>
      </w:tr>
    </w:tbl>
    <w:p w14:paraId="630CF24A" w14:textId="77777777" w:rsidR="00D85FE4" w:rsidRPr="004C5900" w:rsidRDefault="00D85FE4" w:rsidP="00D85FE4">
      <w:pPr>
        <w:widowControl w:val="0"/>
        <w:spacing w:before="120" w:after="0"/>
        <w:rPr>
          <w:lang w:val="en"/>
        </w:rPr>
      </w:pPr>
      <w:r w:rsidRPr="004C5900">
        <w:rPr>
          <w:lang w:val="en"/>
        </w:rPr>
        <w:t>The requested access to connect to the trading and clearing system through the gateway is necessary for the purpose of:</w:t>
      </w:r>
    </w:p>
    <w:p w14:paraId="02B7D9D4" w14:textId="77777777" w:rsidR="00D85FE4" w:rsidRPr="004C5900" w:rsidRDefault="00D85FE4" w:rsidP="00D85FE4">
      <w:pPr>
        <w:widowControl w:val="0"/>
        <w:tabs>
          <w:tab w:val="left" w:pos="432"/>
        </w:tabs>
        <w:spacing w:after="0"/>
        <w:ind w:left="432" w:hanging="432"/>
        <w:rPr>
          <w:lang w:val="en"/>
        </w:rPr>
      </w:pPr>
      <w:r w:rsidRPr="004C5900">
        <w:rPr>
          <w:rFonts w:cs="Arial"/>
          <w:sz w:val="40"/>
          <w:szCs w:val="40"/>
          <w:lang w:val="en"/>
        </w:rPr>
        <w:t>□</w:t>
      </w:r>
      <w:r w:rsidRPr="004C5900">
        <w:rPr>
          <w:rFonts w:cs="Arial"/>
          <w:sz w:val="40"/>
          <w:szCs w:val="40"/>
          <w:lang w:val="en"/>
        </w:rPr>
        <w:tab/>
      </w:r>
      <w:r w:rsidRPr="004C5900">
        <w:rPr>
          <w:lang w:val="en"/>
        </w:rPr>
        <w:t>carrying out trading operations without using algorithmic trading and/or risk management systems;</w:t>
      </w:r>
    </w:p>
    <w:p w14:paraId="622C3E6E" w14:textId="77777777" w:rsidR="00D85FE4" w:rsidRPr="004C5900" w:rsidRDefault="00D85FE4" w:rsidP="00D85FE4">
      <w:pPr>
        <w:widowControl w:val="0"/>
        <w:tabs>
          <w:tab w:val="left" w:pos="432"/>
        </w:tabs>
        <w:spacing w:after="0"/>
        <w:ind w:left="432" w:hanging="432"/>
        <w:rPr>
          <w:lang w:val="en"/>
        </w:rPr>
      </w:pPr>
      <w:r w:rsidRPr="004C5900">
        <w:rPr>
          <w:rFonts w:cs="Arial"/>
          <w:sz w:val="40"/>
          <w:szCs w:val="40"/>
          <w:lang w:val="en"/>
        </w:rPr>
        <w:t>□</w:t>
      </w:r>
      <w:r w:rsidRPr="004C5900">
        <w:rPr>
          <w:rFonts w:cs="Arial"/>
          <w:sz w:val="40"/>
          <w:szCs w:val="40"/>
          <w:lang w:val="en"/>
        </w:rPr>
        <w:tab/>
      </w:r>
      <w:r w:rsidRPr="004C5900">
        <w:rPr>
          <w:lang w:val="en"/>
        </w:rPr>
        <w:t>obtaining information on your own orders and transactions without the right to carry out trading operations;</w:t>
      </w:r>
    </w:p>
    <w:p w14:paraId="5663E671" w14:textId="77777777" w:rsidR="00D85FE4" w:rsidRPr="004C5900" w:rsidRDefault="00D85FE4" w:rsidP="00D85FE4">
      <w:pPr>
        <w:widowControl w:val="0"/>
        <w:tabs>
          <w:tab w:val="left" w:pos="432"/>
        </w:tabs>
        <w:spacing w:after="0"/>
        <w:ind w:left="432" w:hanging="432"/>
        <w:rPr>
          <w:rFonts w:cs="Arial"/>
          <w:lang w:val="en"/>
        </w:rPr>
      </w:pPr>
      <w:r w:rsidRPr="004C5900">
        <w:rPr>
          <w:rFonts w:cs="Arial"/>
          <w:sz w:val="40"/>
          <w:szCs w:val="40"/>
          <w:lang w:val="en"/>
        </w:rPr>
        <w:t>□</w:t>
      </w:r>
      <w:r w:rsidRPr="004C5900">
        <w:rPr>
          <w:rFonts w:cs="Arial"/>
          <w:sz w:val="40"/>
          <w:szCs w:val="40"/>
          <w:lang w:val="en"/>
        </w:rPr>
        <w:tab/>
      </w:r>
      <w:r w:rsidRPr="004C5900">
        <w:rPr>
          <w:rFonts w:cs="Arial"/>
          <w:lang w:val="en"/>
        </w:rPr>
        <w:t xml:space="preserve">creating derivative information for further distribution and/or for internal use, including (including, but not limited to) for automatic or semi-automatic generation/fixation of orders or quotes, use of prices for the purposes of algorithmic trading and/or risk management, use of prices </w:t>
      </w:r>
      <w:r w:rsidRPr="004C5900">
        <w:rPr>
          <w:rFonts w:cs="Arial"/>
          <w:lang w:val="en"/>
        </w:rPr>
        <w:br/>
        <w:t>in for the purpose of automatic submission of orders, use of programs for monitoring operational activities, use of programs for investment analysis, surveillance, compliance control, as well as portfolio assessment, control\verification\confirmation of orders using software and hardware, etc.</w:t>
      </w:r>
    </w:p>
    <w:p w14:paraId="518C5DC8" w14:textId="77777777" w:rsidR="00D85FE4" w:rsidRPr="004C5900" w:rsidRDefault="00D85FE4" w:rsidP="00D85FE4">
      <w:pPr>
        <w:widowControl w:val="0"/>
        <w:spacing w:before="120"/>
        <w:rPr>
          <w:lang w:val="en"/>
        </w:rPr>
      </w:pPr>
      <w:r w:rsidRPr="004C5900">
        <w:rPr>
          <w:lang w:val="en"/>
        </w:rPr>
        <w:t>The responsible person for receiving a short code and password for connecting to the trading and clearing system through the specified gateway is ___________________ (indicate the last name, first name and patronymic of the employee included in the list of traders), work phone: ________________, email: ________________.</w:t>
      </w:r>
    </w:p>
    <w:p w14:paraId="10F6AE9B" w14:textId="77777777" w:rsidR="00D85FE4" w:rsidRPr="004C5900" w:rsidRDefault="00D85FE4" w:rsidP="00D85FE4">
      <w:pPr>
        <w:widowControl w:val="0"/>
        <w:tabs>
          <w:tab w:val="left" w:pos="0"/>
        </w:tabs>
        <w:overflowPunct w:val="0"/>
        <w:autoSpaceDE w:val="0"/>
        <w:autoSpaceDN w:val="0"/>
        <w:adjustRightInd w:val="0"/>
        <w:jc w:val="left"/>
        <w:textAlignment w:val="baseline"/>
        <w:rPr>
          <w:rFonts w:cs="Arial"/>
          <w:lang w:val="en"/>
        </w:rPr>
      </w:pPr>
    </w:p>
    <w:p w14:paraId="629527D4" w14:textId="77777777" w:rsidR="00D85FE4" w:rsidRPr="004C5900" w:rsidRDefault="00D85FE4" w:rsidP="00D85FE4">
      <w:pPr>
        <w:widowControl w:val="0"/>
        <w:tabs>
          <w:tab w:val="left" w:pos="4680"/>
          <w:tab w:val="right" w:pos="9029"/>
        </w:tabs>
        <w:spacing w:after="0"/>
        <w:jc w:val="left"/>
        <w:rPr>
          <w:rFonts w:cs="Arial"/>
          <w:lang w:val="en"/>
        </w:rPr>
      </w:pPr>
      <w:r w:rsidRPr="004C5900">
        <w:rPr>
          <w:lang w:val="en"/>
        </w:rPr>
        <w:t>[Position of the chief executive officer]</w:t>
      </w:r>
      <w:r w:rsidRPr="004C5900">
        <w:rPr>
          <w:lang w:val="en"/>
        </w:rPr>
        <w:tab/>
        <w:t>[signature]</w:t>
      </w:r>
      <w:r w:rsidRPr="004C5900">
        <w:rPr>
          <w:lang w:val="en"/>
        </w:rPr>
        <w:tab/>
        <w:t>[Last name, initials]</w:t>
      </w:r>
      <w:bookmarkEnd w:id="0"/>
    </w:p>
    <w:p w14:paraId="0F25E0B6" w14:textId="77777777" w:rsidR="00D85FE4" w:rsidRPr="004C5900" w:rsidRDefault="00D85FE4" w:rsidP="00D85FE4">
      <w:pPr>
        <w:widowControl w:val="0"/>
        <w:jc w:val="center"/>
        <w:rPr>
          <w:rFonts w:cs="Arial"/>
          <w:lang w:val="en"/>
        </w:rPr>
      </w:pPr>
    </w:p>
    <w:p w14:paraId="04738854" w14:textId="77777777" w:rsidR="001A70CD" w:rsidRPr="00D85FE4" w:rsidRDefault="001A70CD">
      <w:pPr>
        <w:rPr>
          <w:lang w:val="en"/>
        </w:rPr>
      </w:pPr>
    </w:p>
    <w:sectPr w:rsidR="001A70CD" w:rsidRPr="00D85FE4" w:rsidSect="0072744B">
      <w:headerReference w:type="default" r:id="rId6"/>
      <w:footerReference w:type="default" r:id="rId7"/>
      <w:footnotePr>
        <w:numRestart w:val="eachPage"/>
      </w:footnotePr>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6247" w14:textId="77777777" w:rsidR="00D85FE4" w:rsidRDefault="00D85FE4" w:rsidP="00D85FE4">
      <w:pPr>
        <w:spacing w:after="0"/>
      </w:pPr>
      <w:r>
        <w:separator/>
      </w:r>
    </w:p>
  </w:endnote>
  <w:endnote w:type="continuationSeparator" w:id="0">
    <w:p w14:paraId="47203721" w14:textId="77777777" w:rsidR="00D85FE4" w:rsidRDefault="00D85FE4" w:rsidP="00D85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B90E" w14:textId="77777777" w:rsidR="00D85FE4" w:rsidRPr="00B004CE" w:rsidRDefault="00D85FE4" w:rsidP="00D85FE4">
    <w:pPr>
      <w:pStyle w:val="a6"/>
      <w:tabs>
        <w:tab w:val="clear" w:pos="4677"/>
        <w:tab w:val="clear" w:pos="9355"/>
      </w:tabs>
      <w:jc w:val="center"/>
      <w:rPr>
        <w:b/>
        <w:color w:val="7F7F7F"/>
      </w:rPr>
    </w:pPr>
    <w:r w:rsidRPr="00B004CE">
      <w:rPr>
        <w:b/>
        <w:color w:val="7F7F7F"/>
      </w:rPr>
      <w:fldChar w:fldCharType="begin"/>
    </w:r>
    <w:r w:rsidRPr="00B004CE">
      <w:rPr>
        <w:b/>
        <w:color w:val="7F7F7F"/>
      </w:rPr>
      <w:instrText>PAGE   \* MERGEFORMAT</w:instrText>
    </w:r>
    <w:r w:rsidRPr="00B004CE">
      <w:rPr>
        <w:b/>
        <w:color w:val="7F7F7F"/>
      </w:rPr>
      <w:fldChar w:fldCharType="separate"/>
    </w:r>
    <w:r>
      <w:rPr>
        <w:b/>
        <w:color w:val="7F7F7F"/>
      </w:rPr>
      <w:t>5</w:t>
    </w:r>
    <w:r w:rsidRPr="00B004CE">
      <w:rPr>
        <w:b/>
        <w:color w:val="7F7F7F"/>
      </w:rPr>
      <w:fldChar w:fldCharType="end"/>
    </w:r>
  </w:p>
  <w:p w14:paraId="537E66F2" w14:textId="77777777" w:rsidR="00D85FE4" w:rsidRDefault="00D85F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8B30" w14:textId="77777777" w:rsidR="00D85FE4" w:rsidRDefault="00D85FE4" w:rsidP="00D85FE4">
      <w:pPr>
        <w:spacing w:after="0"/>
      </w:pPr>
      <w:r>
        <w:separator/>
      </w:r>
    </w:p>
  </w:footnote>
  <w:footnote w:type="continuationSeparator" w:id="0">
    <w:p w14:paraId="5ACBE0C7" w14:textId="77777777" w:rsidR="00D85FE4" w:rsidRDefault="00D85FE4" w:rsidP="00D85F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B4C" w14:textId="33C24B78" w:rsidR="00D85FE4" w:rsidRDefault="00D85FE4" w:rsidP="00D85FE4">
    <w:pPr>
      <w:pStyle w:val="a4"/>
      <w:jc w:val="center"/>
      <w:rPr>
        <w:rFonts w:ascii="Times New Roman" w:hAnsi="Times New Roman"/>
        <w:b/>
        <w:color w:val="808080"/>
        <w:lang w:val="en-US"/>
      </w:rPr>
    </w:pPr>
    <w:bookmarkStart w:id="1" w:name="_Hlk189651673"/>
    <w:bookmarkStart w:id="2" w:name="_Hlk189651674"/>
    <w:bookmarkStart w:id="3" w:name="_Hlk189651749"/>
    <w:bookmarkStart w:id="4" w:name="_Hlk189651750"/>
    <w:bookmarkStart w:id="5" w:name="_Hlk189651765"/>
    <w:bookmarkStart w:id="6" w:name="_Hlk189651766"/>
    <w:bookmarkStart w:id="7" w:name="_Hlk189651832"/>
    <w:bookmarkStart w:id="8" w:name="_Hlk189651833"/>
    <w:bookmarkStart w:id="9" w:name="_Hlk189651913"/>
    <w:bookmarkStart w:id="10" w:name="_Hlk189651914"/>
    <w:bookmarkStart w:id="11" w:name="_Hlk189652019"/>
    <w:bookmarkStart w:id="12" w:name="_Hlk189652020"/>
    <w:r w:rsidRPr="00D85FE4">
      <w:rPr>
        <w:rFonts w:ascii="Times New Roman" w:hAnsi="Times New Roman"/>
        <w:b/>
        <w:color w:val="808080"/>
        <w:lang w:val="en-US"/>
      </w:rPr>
      <w:t>Rules for providing access to the Exchange's trading systems</w:t>
    </w:r>
  </w:p>
  <w:p w14:paraId="3FD616D5" w14:textId="77777777" w:rsidR="00D85FE4" w:rsidRPr="00D85FE4" w:rsidRDefault="00D85FE4" w:rsidP="00D85FE4">
    <w:pPr>
      <w:pStyle w:val="a4"/>
      <w:jc w:val="center"/>
      <w:rPr>
        <w:rFonts w:ascii="Times New Roman" w:hAnsi="Times New Roman"/>
        <w:b/>
        <w:color w:val="808080"/>
        <w:lang w:val="en-US"/>
      </w:rPr>
    </w:pPr>
  </w:p>
  <w:bookmarkEnd w:id="1"/>
  <w:bookmarkEnd w:id="2"/>
  <w:bookmarkEnd w:id="3"/>
  <w:bookmarkEnd w:id="4"/>
  <w:bookmarkEnd w:id="5"/>
  <w:bookmarkEnd w:id="6"/>
  <w:bookmarkEnd w:id="7"/>
  <w:bookmarkEnd w:id="8"/>
  <w:bookmarkEnd w:id="9"/>
  <w:bookmarkEnd w:id="10"/>
  <w:bookmarkEnd w:id="11"/>
  <w:bookmarkEnd w:id="12"/>
  <w:p w14:paraId="1CA9AD92" w14:textId="77777777" w:rsidR="00D85FE4" w:rsidRPr="00D85FE4" w:rsidRDefault="00D85FE4" w:rsidP="00D85FE4">
    <w:pPr>
      <w:pStyle w:val="a4"/>
      <w:pBdr>
        <w:top w:val="double" w:sz="12" w:space="1" w:color="808080"/>
      </w:pBdr>
      <w:tabs>
        <w:tab w:val="clear" w:pos="4677"/>
        <w:tab w:val="clear" w:pos="9355"/>
      </w:tabs>
      <w:jc w:val="left"/>
      <w:rPr>
        <w:color w:val="808080"/>
        <w:lang w:val="en-US"/>
      </w:rPr>
    </w:pPr>
  </w:p>
  <w:p w14:paraId="67F42B11" w14:textId="77777777" w:rsidR="00D85FE4" w:rsidRPr="00D85FE4" w:rsidRDefault="00D85FE4">
    <w:pPr>
      <w:pStyle w:val="a4"/>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E4"/>
    <w:rsid w:val="001A70CD"/>
    <w:rsid w:val="00D8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3009"/>
  <w15:chartTrackingRefBased/>
  <w15:docId w15:val="{AD8A0698-5994-4E1A-8FF7-1696225B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FE4"/>
    <w:pPr>
      <w:spacing w:after="120" w:line="240" w:lineRule="auto"/>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85FE4"/>
    <w:pPr>
      <w:spacing w:after="0" w:line="240" w:lineRule="auto"/>
    </w:pPr>
    <w:rPr>
      <w:rFonts w:ascii="Times New Roman" w:eastAsia="Times New Roman" w:hAnsi="Times New Roman" w:cs="Times New Roman"/>
      <w:sz w:val="20"/>
      <w:szCs w:val="20"/>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8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FE4"/>
    <w:pPr>
      <w:tabs>
        <w:tab w:val="center" w:pos="4677"/>
        <w:tab w:val="right" w:pos="9355"/>
      </w:tabs>
      <w:spacing w:after="0"/>
    </w:pPr>
  </w:style>
  <w:style w:type="character" w:customStyle="1" w:styleId="a5">
    <w:name w:val="Верхний колонтитул Знак"/>
    <w:basedOn w:val="a0"/>
    <w:link w:val="a4"/>
    <w:uiPriority w:val="99"/>
    <w:rsid w:val="00D85FE4"/>
    <w:rPr>
      <w:rFonts w:ascii="Arial" w:eastAsia="Times New Roman" w:hAnsi="Arial" w:cs="Times New Roman"/>
      <w:sz w:val="20"/>
      <w:szCs w:val="20"/>
      <w:lang w:eastAsia="ru-RU"/>
    </w:rPr>
  </w:style>
  <w:style w:type="paragraph" w:styleId="a6">
    <w:name w:val="footer"/>
    <w:basedOn w:val="a"/>
    <w:link w:val="a7"/>
    <w:unhideWhenUsed/>
    <w:rsid w:val="00D85FE4"/>
    <w:pPr>
      <w:tabs>
        <w:tab w:val="center" w:pos="4677"/>
        <w:tab w:val="right" w:pos="9355"/>
      </w:tabs>
      <w:spacing w:after="0"/>
    </w:pPr>
  </w:style>
  <w:style w:type="character" w:customStyle="1" w:styleId="a7">
    <w:name w:val="Нижний колонтитул Знак"/>
    <w:basedOn w:val="a0"/>
    <w:link w:val="a6"/>
    <w:uiPriority w:val="99"/>
    <w:rsid w:val="00D85FE4"/>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Жақман Ұлпан Қайратбекқызы</dc:creator>
  <cp:keywords/>
  <dc:description/>
  <cp:lastModifiedBy>Жақман Ұлпан Қайратбекқызы</cp:lastModifiedBy>
  <cp:revision>1</cp:revision>
  <dcterms:created xsi:type="dcterms:W3CDTF">2025-02-05T07:48:00Z</dcterms:created>
  <dcterms:modified xsi:type="dcterms:W3CDTF">2025-02-05T07:48:00Z</dcterms:modified>
</cp:coreProperties>
</file>